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WC-Druckspüler TEMPOFLUX 2</w:t>
      </w:r>
    </w:p>
    <w:p>
      <w:pPr/>
      <w:r>
        <w:rPr>
          <w:rFonts w:ascii="Calibri" w:hAnsi="Calibri" w:eastAsia="Calibri" w:cs="Calibri"/>
          <w:sz w:val="22"/>
          <w:szCs w:val="22"/>
        </w:rPr>
        <w:t xml:space="preserve">Selbstschließend, Einmengenspülung 6 l</w:t>
      </w:r>
    </w:p>
    <w:p>
      <w:pPr/>
      <w:r>
        <w:rPr>
          <w:rFonts w:ascii="Calibri" w:hAnsi="Calibri" w:eastAsia="Calibri" w:cs="Calibri"/>
          <w:sz w:val="22"/>
          <w:szCs w:val="22"/>
        </w:rPr>
        <w:t xml:space="preserve">Unterputzmontage</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762901</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Selbstschluss-Druckspüler für WC, Unterputzmontage:
</w:t>
      </w:r>
    </w:p>
    <w:p>
      <w:pPr>
        <w:spacing w:line="288" w:lineRule="auto"/>
      </w:pPr>
      <w:r>
        <w:rPr>
          <w:rFonts w:ascii="Calibri" w:hAnsi="Calibri" w:eastAsia="Calibri" w:cs="Calibri"/>
          <w:sz w:val="22"/>
          <w:szCs w:val="22"/>
        </w:rPr>
        <w:t xml:space="preserve">Rosette Ø 195 aus Metall verchromt mit verdeckter, mechanischer Befestigung.
</w:t>
      </w:r>
    </w:p>
    <w:p>
      <w:pPr>
        <w:spacing w:line="288" w:lineRule="auto"/>
      </w:pPr>
      <w:r>
        <w:rPr>
          <w:rFonts w:ascii="Calibri" w:hAnsi="Calibri" w:eastAsia="Calibri" w:cs="Calibri"/>
          <w:sz w:val="22"/>
          <w:szCs w:val="22"/>
        </w:rPr>
        <w:t xml:space="preserve">Universal-Einputzrahmen. 
</w:t>
      </w:r>
    </w:p>
    <w:p>
      <w:pPr>
        <w:spacing w:line="288" w:lineRule="auto"/>
      </w:pPr>
      <w:r>
        <w:rPr>
          <w:rFonts w:ascii="Calibri" w:hAnsi="Calibri" w:eastAsia="Calibri" w:cs="Calibri"/>
          <w:sz w:val="22"/>
          <w:szCs w:val="22"/>
        </w:rPr>
        <w:t xml:space="preserve">Einbautiefe einstellbar von 0 bis 20 mm. 
</w:t>
      </w:r>
    </w:p>
    <w:p>
      <w:pPr>
        <w:spacing w:line="288" w:lineRule="auto"/>
      </w:pPr>
      <w:r>
        <w:rPr>
          <w:rFonts w:ascii="Calibri" w:hAnsi="Calibri" w:eastAsia="Calibri" w:cs="Calibri"/>
          <w:sz w:val="22"/>
          <w:szCs w:val="22"/>
        </w:rPr>
        <w:t xml:space="preserve">Einmengenspülung 6 l. 
</w:t>
      </w:r>
    </w:p>
    <w:p>
      <w:pPr>
        <w:spacing w:line="288" w:lineRule="auto"/>
      </w:pPr>
      <w:r>
        <w:rPr>
          <w:rFonts w:ascii="Calibri" w:hAnsi="Calibri" w:eastAsia="Calibri" w:cs="Calibri"/>
          <w:sz w:val="22"/>
          <w:szCs w:val="22"/>
        </w:rPr>
        <w:t xml:space="preserve">Besonders leichte Betätigung. 
</w:t>
      </w:r>
    </w:p>
    <w:p>
      <w:pPr>
        <w:spacing w:line="288" w:lineRule="auto"/>
      </w:pPr>
      <w:r>
        <w:rPr>
          <w:rFonts w:ascii="Calibri" w:hAnsi="Calibri" w:eastAsia="Calibri" w:cs="Calibri"/>
          <w:sz w:val="22"/>
          <w:szCs w:val="22"/>
        </w:rPr>
        <w:t xml:space="preserve">Rohrunterbrecher. 
</w:t>
      </w:r>
    </w:p>
    <w:p>
      <w:pPr>
        <w:spacing w:line="288" w:lineRule="auto"/>
      </w:pPr>
      <w:r>
        <w:rPr>
          <w:rFonts w:ascii="Calibri" w:hAnsi="Calibri" w:eastAsia="Calibri" w:cs="Calibri"/>
          <w:sz w:val="22"/>
          <w:szCs w:val="22"/>
        </w:rPr>
        <w:t xml:space="preserve">Integrierte Vorabsperrung mit Durchfluss-/Spülmengeneinstellung. 
</w:t>
      </w:r>
    </w:p>
    <w:p>
      <w:pPr>
        <w:spacing w:line="288" w:lineRule="auto"/>
      </w:pPr>
      <w:r>
        <w:rPr>
          <w:rFonts w:ascii="Calibri" w:hAnsi="Calibri" w:eastAsia="Calibri" w:cs="Calibri"/>
          <w:sz w:val="22"/>
          <w:szCs w:val="22"/>
        </w:rPr>
        <w:t xml:space="preserve">Körper aus Messing massiv. 
</w:t>
      </w:r>
    </w:p>
    <w:p>
      <w:pPr>
        <w:spacing w:line="288" w:lineRule="auto"/>
      </w:pPr>
      <w:r>
        <w:rPr>
          <w:rFonts w:ascii="Calibri" w:hAnsi="Calibri" w:eastAsia="Calibri" w:cs="Calibri"/>
          <w:sz w:val="22"/>
          <w:szCs w:val="22"/>
        </w:rPr>
        <w:t xml:space="preserve">Bedienelement aus Metall verchromt. 
</w:t>
      </w:r>
    </w:p>
    <w:p>
      <w:pPr>
        <w:spacing w:line="288" w:lineRule="auto"/>
      </w:pPr>
      <w:r>
        <w:rPr>
          <w:rFonts w:ascii="Calibri" w:hAnsi="Calibri" w:eastAsia="Calibri" w:cs="Calibri"/>
          <w:sz w:val="22"/>
          <w:szCs w:val="22"/>
        </w:rPr>
        <w:t xml:space="preserve">Anschluss von oben G 3/4B. 
</w:t>
      </w:r>
    </w:p>
    <w:p>
      <w:pPr>
        <w:spacing w:line="288" w:lineRule="auto"/>
      </w:pPr>
      <w:r>
        <w:rPr>
          <w:rFonts w:ascii="Calibri" w:hAnsi="Calibri" w:eastAsia="Calibri" w:cs="Calibri"/>
          <w:sz w:val="22"/>
          <w:szCs w:val="22"/>
        </w:rPr>
        <w:t xml:space="preserve">Abgang mit Steckmuffe für PVC-Rohr Ø 26/32. 
</w:t>
      </w:r>
    </w:p>
    <w:p>
      <w:pPr>
        <w:spacing w:line="288" w:lineRule="auto"/>
      </w:pPr>
      <w:r>
        <w:rPr>
          <w:rFonts w:ascii="Calibri" w:hAnsi="Calibri" w:eastAsia="Calibri" w:cs="Calibri"/>
          <w:sz w:val="22"/>
          <w:szCs w:val="22"/>
        </w:rPr>
        <w:t xml:space="preserve">Geräuschpegel gemäß DIN-EN 12541 Klasse II. 
</w:t>
      </w:r>
    </w:p>
    <w:p>
      <w:pPr>
        <w:spacing w:line="288" w:lineRule="auto"/>
      </w:pPr>
      <w:r>
        <w:rPr>
          <w:rFonts w:ascii="Calibri" w:hAnsi="Calibri" w:eastAsia="Calibri" w:cs="Calibri"/>
          <w:sz w:val="22"/>
          <w:szCs w:val="22"/>
        </w:rPr>
        <w:t xml:space="preserve">Versorgungsanschluss: freier Innendurchmesser Ø mindestens 20 mm.
</w:t>
      </w:r>
    </w:p>
    <w:p>
      <w:pPr>
        <w:spacing w:line="288" w:lineRule="auto"/>
      </w:pPr>
      <w:r>
        <w:rPr>
          <w:rFonts w:ascii="Calibri" w:hAnsi="Calibri" w:eastAsia="Calibri" w:cs="Calibri"/>
          <w:sz w:val="22"/>
          <w:szCs w:val="22"/>
        </w:rPr>
        <w:t xml:space="preserve">Berechnungsdurchfluss: 1 l/Sek bei 1 bar Fließdruck.
</w:t>
      </w:r>
    </w:p>
    <w:p>
      <w:pPr>
        <w:spacing w:line="288" w:lineRule="auto"/>
      </w:pPr>
      <w:r>
        <w:rPr>
          <w:rFonts w:ascii="Calibri" w:hAnsi="Calibri" w:eastAsia="Calibri" w:cs="Calibri"/>
          <w:sz w:val="22"/>
          <w:szCs w:val="22"/>
        </w:rPr>
        <w:t xml:space="preserve">Geeignet für Regenwasser.
</w:t>
      </w:r>
    </w:p>
    <w:p>
      <w:pPr>
        <w:spacing w:line="288" w:lineRule="auto"/>
      </w:pPr>
      <w:r>
        <w:rPr>
          <w:rFonts w:ascii="Calibri" w:hAnsi="Calibri" w:eastAsia="Calibri" w:cs="Calibri"/>
          <w:sz w:val="22"/>
          <w:szCs w:val="22"/>
        </w:rPr>
        <w:t xml:space="preserve">Geeignet für spülrandlose WCs ohne Durchflussbegrenzer und für bewegungseingeschränkte Personen.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2024-12-15T00:40:54+01:00</dcterms:created>
  <dcterms:modified xsi:type="dcterms:W3CDTF">2024-12-15T00:40:54+01:00</dcterms:modified>
</cp:coreProperties>
</file>

<file path=docProps/custom.xml><?xml version="1.0" encoding="utf-8"?>
<Properties xmlns="http://schemas.openxmlformats.org/officeDocument/2006/custom-properties" xmlns:vt="http://schemas.openxmlformats.org/officeDocument/2006/docPropsVTypes"/>
</file>