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Spülrohr</w:t></w:r></w:p><w:p><w:pPr/><w:r><w:rPr><w:rFonts w:ascii="Calibri" w:hAnsi="Calibri" w:eastAsia="Calibri" w:cs="Calibri"/><w:sz w:val="22"/><w:szCs w:val="22"/></w:rPr><w:t xml:space="preserve">Für Urinal VILLEROY & BOCH „Losange 7530“</w:t></w:r></w:p><w:p><w:pPr/><w:r><w:rPr><w:rFonts w:ascii="Calibri" w:hAnsi="Calibri" w:eastAsia="Calibri" w:cs="Calibri"/><w:sz w:val="22"/><w:szCs w:val="22"/></w:rPr><w:t xml:space="preserve">G 1/2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/><w:bCs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Spülrohr für Urinal VILLEROY & BOCH Losange 7530 mit Sprühkopf. </w:t></w:r></w:p><w:p><w:pPr><w:spacing w:line="288" w:lineRule="auto"/></w:pPr><w:r><w:rPr><w:rFonts w:ascii="Calibri" w:hAnsi="Calibri" w:eastAsia="Calibri" w:cs="Calibri"/><w:sz w:val="22"/><w:szCs w:val="22"/></w:rPr><w:t xml:space="preserve">G 1/2. 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2024-01-13T17:21:51+01:00</dcterms:created>
  <dcterms:modified xsi:type="dcterms:W3CDTF">2024-01-13T17:21:51+01:00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