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Standard- oder Absaugurinal</w:t></w:r></w:p><w:p><w:pPr/><w:r><w:rPr><w:rFonts w:ascii="Calibri" w:hAnsi="Calibri" w:eastAsia="Calibri" w:cs="Calibri"/><w:sz w:val="22"/><w:szCs w:val="22"/></w:rPr><w:t xml:space="preserve">G 1/2,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Standard- oder Absaugurinal: </w:t></w:r></w:p><w:p><w:pPr><w:spacing w:line="288" w:lineRule="auto"/></w:pPr><w:r><w:rPr><w:rFonts w:ascii="Calibri" w:hAnsi="Calibri" w:eastAsia="Calibri" w:cs="Calibri"/><w:sz w:val="22"/><w:szCs w:val="22"/></w:rPr><w:t xml:space="preserve">ALLIA/GEBERIT Satolas 43650/43651 oder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oder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 Targa, Esta.</w:t></w:r></w:p><w:p><w:pPr><w:spacing w:line="288" w:lineRule="auto"/></w:pPr><w:r><w:rPr><w:rFonts w:ascii="Calibri" w:hAnsi="Calibri" w:eastAsia="Calibri" w:cs="Calibri"/><w:sz w:val="22"/><w:szCs w:val="22"/></w:rPr><w:t xml:space="preserve">G 1/2 Ø 35.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2025-02-12T09:39:37+01:00</dcterms:created>
  <dcterms:modified xsi:type="dcterms:W3CDTF">2025-02-12T09:39:37+01:00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